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BB68" w14:textId="77777777" w:rsidR="0025426D" w:rsidRDefault="0025426D">
      <w:pPr>
        <w:rPr>
          <w:rFonts w:hint="eastAsia"/>
        </w:rPr>
      </w:pPr>
      <w:r>
        <w:rPr>
          <w:rFonts w:hint="eastAsia"/>
        </w:rPr>
        <w:t>转立的拼音：zhuǎn lì</w:t>
      </w:r>
    </w:p>
    <w:p w14:paraId="2098CE99" w14:textId="77777777" w:rsidR="0025426D" w:rsidRDefault="0025426D">
      <w:pPr>
        <w:rPr>
          <w:rFonts w:hint="eastAsia"/>
        </w:rPr>
      </w:pPr>
      <w:r>
        <w:rPr>
          <w:rFonts w:hint="eastAsia"/>
        </w:rPr>
        <w:t>“转立”这个词，虽然在日常生活中并不常见，但它却蕴含着丰富的文化内涵和深刻的哲学意义。从字面上看，“转”意为旋转、变化；“立”则象征站立、确立。将这两个字组合在一起，可以理解为一种从动态到静态的转变过程，也可以解读为一种人生哲理——通过不断调整自我，最终达到稳定与平衡的状态。</w:t>
      </w:r>
    </w:p>
    <w:p w14:paraId="5B2729EC" w14:textId="77777777" w:rsidR="0025426D" w:rsidRDefault="0025426D">
      <w:pPr>
        <w:rPr>
          <w:rFonts w:hint="eastAsia"/>
        </w:rPr>
      </w:pPr>
    </w:p>
    <w:p w14:paraId="36C39A57" w14:textId="77777777" w:rsidR="0025426D" w:rsidRDefault="0025426D">
      <w:pPr>
        <w:rPr>
          <w:rFonts w:hint="eastAsia"/>
        </w:rPr>
      </w:pPr>
      <w:r>
        <w:rPr>
          <w:rFonts w:hint="eastAsia"/>
        </w:rPr>
        <w:t>起源与发展</w:t>
      </w:r>
    </w:p>
    <w:p w14:paraId="66709B56" w14:textId="77777777" w:rsidR="0025426D" w:rsidRDefault="0025426D">
      <w:pPr>
        <w:rPr>
          <w:rFonts w:hint="eastAsia"/>
        </w:rPr>
      </w:pPr>
      <w:r>
        <w:rPr>
          <w:rFonts w:hint="eastAsia"/>
        </w:rPr>
        <w:t>“转立”的概念最早可追溯至中国古代哲学思想。在《周易》中，乾坤两卦的变化正是对“转立”这一理念的生动诠释。乾卦代表天道运行不息，坤卦则象征大地承载万物。“转”体现了宇宙间无时不在的变化规律，而“立”则寓意事物经过变化后所形成的新的秩序或状态。随着历史的发展，“转立”逐渐被应用于多个领域，如武术、书法、音乐等艺术形式中，成为表达创作者内心世界的重要手段。</w:t>
      </w:r>
    </w:p>
    <w:p w14:paraId="7BA68F6B" w14:textId="77777777" w:rsidR="0025426D" w:rsidRDefault="0025426D">
      <w:pPr>
        <w:rPr>
          <w:rFonts w:hint="eastAsia"/>
        </w:rPr>
      </w:pPr>
    </w:p>
    <w:p w14:paraId="00F2462C" w14:textId="77777777" w:rsidR="0025426D" w:rsidRDefault="0025426D">
      <w:pPr>
        <w:rPr>
          <w:rFonts w:hint="eastAsia"/>
        </w:rPr>
      </w:pPr>
      <w:r>
        <w:rPr>
          <w:rFonts w:hint="eastAsia"/>
        </w:rPr>
        <w:t>在武术中的体现</w:t>
      </w:r>
    </w:p>
    <w:p w14:paraId="2482D188" w14:textId="77777777" w:rsidR="0025426D" w:rsidRDefault="0025426D">
      <w:pPr>
        <w:rPr>
          <w:rFonts w:hint="eastAsia"/>
        </w:rPr>
      </w:pPr>
      <w:r>
        <w:rPr>
          <w:rFonts w:hint="eastAsia"/>
        </w:rPr>
        <w:t>在传统武术中，“转立”是一种非常重要的动作技巧。以太极拳为例，练习者需要通过身体的旋转来完成各种招式，并在此过程中找到重心的平衡点。这种动作不仅考验习武者的柔韧性和力量控制能力，更要求他们具备高度集中的精神状态。每一次旋转都是一次挑战，而每一次站稳脚跟则是成功的标志。可以说，“转立”是武术修炼过程中不可或缺的一部分。</w:t>
      </w:r>
    </w:p>
    <w:p w14:paraId="12AE8D68" w14:textId="77777777" w:rsidR="0025426D" w:rsidRDefault="0025426D">
      <w:pPr>
        <w:rPr>
          <w:rFonts w:hint="eastAsia"/>
        </w:rPr>
      </w:pPr>
    </w:p>
    <w:p w14:paraId="6F710103" w14:textId="77777777" w:rsidR="0025426D" w:rsidRDefault="0025426D">
      <w:pPr>
        <w:rPr>
          <w:rFonts w:hint="eastAsia"/>
        </w:rPr>
      </w:pPr>
      <w:r>
        <w:rPr>
          <w:rFonts w:hint="eastAsia"/>
        </w:rPr>
        <w:t>在书法中的应用</w:t>
      </w:r>
    </w:p>
    <w:p w14:paraId="1761A301" w14:textId="77777777" w:rsidR="0025426D" w:rsidRDefault="0025426D">
      <w:pPr>
        <w:rPr>
          <w:rFonts w:hint="eastAsia"/>
        </w:rPr>
      </w:pPr>
      <w:r>
        <w:rPr>
          <w:rFonts w:hint="eastAsia"/>
        </w:rPr>
        <w:t>书法作为中国传统文化的重要组成部分，同样蕴含了“转立”的智慧。书法家在创作时，往往需要通过对笔画方向、力度以及速度的灵活运用，使作品呈现出独特的美感。例如，在书写草书时，笔锋的快速转折能够表现出一种奔放洒脱的气势；而在楷书中，每一笔画都需要精确到位，展现出端庄稳重的特点。这正是“转立”在书法领域的具体表现形式。</w:t>
      </w:r>
    </w:p>
    <w:p w14:paraId="64D17C7E" w14:textId="77777777" w:rsidR="0025426D" w:rsidRDefault="0025426D">
      <w:pPr>
        <w:rPr>
          <w:rFonts w:hint="eastAsia"/>
        </w:rPr>
      </w:pPr>
    </w:p>
    <w:p w14:paraId="01DAF38C" w14:textId="77777777" w:rsidR="0025426D" w:rsidRDefault="0025426D">
      <w:pPr>
        <w:rPr>
          <w:rFonts w:hint="eastAsia"/>
        </w:rPr>
      </w:pPr>
      <w:r>
        <w:rPr>
          <w:rFonts w:hint="eastAsia"/>
        </w:rPr>
        <w:t>现代意义的延伸</w:t>
      </w:r>
    </w:p>
    <w:p w14:paraId="3561B101" w14:textId="77777777" w:rsidR="0025426D" w:rsidRDefault="0025426D">
      <w:pPr>
        <w:rPr>
          <w:rFonts w:hint="eastAsia"/>
        </w:rPr>
      </w:pPr>
      <w:r>
        <w:rPr>
          <w:rFonts w:hint="eastAsia"/>
        </w:rPr>
        <w:t>进入现代社会后，“转立”的含义得到了进一步拓展。它不再局限于具体的动作或技艺层面，而是上升到了一种生活态度的高度。面对复杂多变的社会环境，人们常常需要学会适应变化，在不断的调整中寻找属于自己的位置。无论是职场竞争还是人际关系处理，“转立”都提醒我们，只有保持开放的心态，勇于接受新事物，才能更好地应对未来的挑战。</w:t>
      </w:r>
    </w:p>
    <w:p w14:paraId="70F2E651" w14:textId="77777777" w:rsidR="0025426D" w:rsidRDefault="0025426D">
      <w:pPr>
        <w:rPr>
          <w:rFonts w:hint="eastAsia"/>
        </w:rPr>
      </w:pPr>
    </w:p>
    <w:p w14:paraId="480C211E" w14:textId="77777777" w:rsidR="0025426D" w:rsidRDefault="0025426D">
      <w:pPr>
        <w:rPr>
          <w:rFonts w:hint="eastAsia"/>
        </w:rPr>
      </w:pPr>
      <w:r>
        <w:rPr>
          <w:rFonts w:hint="eastAsia"/>
        </w:rPr>
        <w:t>最后的总结</w:t>
      </w:r>
    </w:p>
    <w:p w14:paraId="2A37D083" w14:textId="77777777" w:rsidR="0025426D" w:rsidRDefault="0025426D">
      <w:pPr>
        <w:rPr>
          <w:rFonts w:hint="eastAsia"/>
        </w:rPr>
      </w:pPr>
      <w:r>
        <w:rPr>
          <w:rFonts w:hint="eastAsia"/>
        </w:rPr>
        <w:t>“转立”不仅仅是一个简单的词汇，它背后承载着深厚的文化底蕴和哲学思考。无论是在古代经典文献中，还是在现代日常生活里，“转立”都在以不同的方式影响着我们的思维方式和行为模式。希望每一位读者都能从中汲取灵感，在人生的旅途中实现自己的“转立”之道。</w:t>
      </w:r>
    </w:p>
    <w:p w14:paraId="50CB00F0" w14:textId="77777777" w:rsidR="0025426D" w:rsidRDefault="0025426D">
      <w:pPr>
        <w:rPr>
          <w:rFonts w:hint="eastAsia"/>
        </w:rPr>
      </w:pPr>
    </w:p>
    <w:p w14:paraId="085B34EB" w14:textId="77777777" w:rsidR="0025426D" w:rsidRDefault="0025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032B1" w14:textId="16EFCB69" w:rsidR="000C3169" w:rsidRDefault="000C3169"/>
    <w:sectPr w:rsidR="000C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69"/>
    <w:rsid w:val="000C3169"/>
    <w:rsid w:val="0025426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B5A4-3937-4541-902F-EB11991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