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DC31" w14:textId="77777777" w:rsidR="00B954C5" w:rsidRDefault="00B954C5">
      <w:pPr>
        <w:rPr>
          <w:rFonts w:hint="eastAsia"/>
        </w:rPr>
      </w:pPr>
      <w:r>
        <w:rPr>
          <w:rFonts w:hint="eastAsia"/>
        </w:rPr>
        <w:t>进学解的拼音版原文</w:t>
      </w:r>
    </w:p>
    <w:p w14:paraId="41FCC7DB" w14:textId="77777777" w:rsidR="00B954C5" w:rsidRDefault="00B954C5">
      <w:pPr>
        <w:rPr>
          <w:rFonts w:hint="eastAsia"/>
        </w:rPr>
      </w:pPr>
      <w:r>
        <w:rPr>
          <w:rFonts w:hint="eastAsia"/>
        </w:rPr>
        <w:t>《进学解》是唐代文学家韩愈所作的一篇文章，其拼音版原文如下：</w:t>
      </w:r>
    </w:p>
    <w:p w14:paraId="2AF3E7A8" w14:textId="77777777" w:rsidR="00B954C5" w:rsidRDefault="00B954C5">
      <w:pPr>
        <w:rPr>
          <w:rFonts w:hint="eastAsia"/>
        </w:rPr>
      </w:pPr>
    </w:p>
    <w:p w14:paraId="3FD4165C" w14:textId="77777777" w:rsidR="00B954C5" w:rsidRDefault="00B954C5">
      <w:pPr>
        <w:rPr>
          <w:rFonts w:hint="eastAsia"/>
        </w:rPr>
      </w:pPr>
      <w:r>
        <w:rPr>
          <w:rFonts w:hint="eastAsia"/>
        </w:rPr>
        <w:t>Jìn xué jiě</w:t>
      </w:r>
    </w:p>
    <w:p w14:paraId="00F07917" w14:textId="77777777" w:rsidR="00B954C5" w:rsidRDefault="00B954C5">
      <w:pPr>
        <w:rPr>
          <w:rFonts w:hint="eastAsia"/>
        </w:rPr>
      </w:pPr>
    </w:p>
    <w:p w14:paraId="2A535364" w14:textId="77777777" w:rsidR="00B954C5" w:rsidRDefault="00B954C5">
      <w:pPr>
        <w:rPr>
          <w:rFonts w:hint="eastAsia"/>
        </w:rPr>
      </w:pPr>
      <w:r>
        <w:rPr>
          <w:rFonts w:hint="eastAsia"/>
        </w:rPr>
        <w:t>Guó zǐ xiān shēng hào dé xíng, chū yǔ jūn, zhōng yǔ rén. Qí zì wèi yuē: “Wǒ néng tōng sān jīng, wén liù yì, bù qīng fēi rú, bù zhòng kǒng lǐ.” Yǐ qí dào jiào yú shì, ér zhěng qí shēn. Zhěng qí shēn, ér hòu néng zhèng qí jiā; zhèng qí jiā, ér hòu néng zhì qí guó; zhì qí guó, ér hòu néng píng tiān xià. Gù yuē: “Qí shēn zhèng, bù lìng ér xíng; qí shēn bù zhèng, suī lìng bù cóng.”</w:t>
      </w:r>
    </w:p>
    <w:p w14:paraId="3E31FFA3" w14:textId="77777777" w:rsidR="00B954C5" w:rsidRDefault="00B954C5">
      <w:pPr>
        <w:rPr>
          <w:rFonts w:hint="eastAsia"/>
        </w:rPr>
      </w:pPr>
    </w:p>
    <w:p w14:paraId="7D8E64F0" w14:textId="77777777" w:rsidR="00B954C5" w:rsidRDefault="00B954C5">
      <w:pPr>
        <w:rPr>
          <w:rFonts w:hint="eastAsia"/>
        </w:rPr>
      </w:pPr>
      <w:r>
        <w:rPr>
          <w:rFonts w:hint="eastAsia"/>
        </w:rPr>
        <w:t>文章背景与意义</w:t>
      </w:r>
    </w:p>
    <w:p w14:paraId="482F73DE" w14:textId="77777777" w:rsidR="00B954C5" w:rsidRDefault="00B954C5">
      <w:pPr>
        <w:rPr>
          <w:rFonts w:hint="eastAsia"/>
        </w:rPr>
      </w:pPr>
      <w:r>
        <w:rPr>
          <w:rFonts w:hint="eastAsia"/>
        </w:rPr>
        <w:t>《进学解》创作于唐宪宗元和八年（813年），当时韩愈担任国子监祭酒，相当于今天的国立大学校长。这篇文章是韩愈为激励学生而写的，意在强调学习的重要性和方法，以及个人修养对于社会秩序的重要性。</w:t>
      </w:r>
    </w:p>
    <w:p w14:paraId="54B38722" w14:textId="77777777" w:rsidR="00B954C5" w:rsidRDefault="00B954C5">
      <w:pPr>
        <w:rPr>
          <w:rFonts w:hint="eastAsia"/>
        </w:rPr>
      </w:pPr>
    </w:p>
    <w:p w14:paraId="621070D9" w14:textId="77777777" w:rsidR="00B954C5" w:rsidRDefault="00B954C5">
      <w:pPr>
        <w:rPr>
          <w:rFonts w:hint="eastAsia"/>
        </w:rPr>
      </w:pPr>
      <w:r>
        <w:rPr>
          <w:rFonts w:hint="eastAsia"/>
        </w:rPr>
        <w:t>内容概述</w:t>
      </w:r>
    </w:p>
    <w:p w14:paraId="6883EA46" w14:textId="77777777" w:rsidR="00B954C5" w:rsidRDefault="00B954C5">
      <w:pPr>
        <w:rPr>
          <w:rFonts w:hint="eastAsia"/>
        </w:rPr>
      </w:pPr>
      <w:r>
        <w:rPr>
          <w:rFonts w:hint="eastAsia"/>
        </w:rPr>
        <w:t>文中，韩愈首先自述了自己对儒家经典的深入研究，并表达了他将这些道理传授给学生的决心。接着，他阐述了修身齐家治国平天下的理想，这是一条从个人到家庭再到国家和社会的提升路径，体现了儒家思想中个人道德修养和社会责任之间的紧密联系。引用了《论语》中的句子，强调了以身作则的重要性。</w:t>
      </w:r>
    </w:p>
    <w:p w14:paraId="77374B0A" w14:textId="77777777" w:rsidR="00B954C5" w:rsidRDefault="00B954C5">
      <w:pPr>
        <w:rPr>
          <w:rFonts w:hint="eastAsia"/>
        </w:rPr>
      </w:pPr>
    </w:p>
    <w:p w14:paraId="7761B181" w14:textId="77777777" w:rsidR="00B954C5" w:rsidRDefault="00B954C5">
      <w:pPr>
        <w:rPr>
          <w:rFonts w:hint="eastAsia"/>
        </w:rPr>
      </w:pPr>
      <w:r>
        <w:rPr>
          <w:rFonts w:hint="eastAsia"/>
        </w:rPr>
        <w:t>语言特点</w:t>
      </w:r>
    </w:p>
    <w:p w14:paraId="5DF65CCF" w14:textId="77777777" w:rsidR="00B954C5" w:rsidRDefault="00B954C5">
      <w:pPr>
        <w:rPr>
          <w:rFonts w:hint="eastAsia"/>
        </w:rPr>
      </w:pPr>
      <w:r>
        <w:rPr>
          <w:rFonts w:hint="eastAsia"/>
        </w:rPr>
        <w:t>韩愈的文章风格雄浑有力，言简意赅。《进学解》中，他运用了大量的排比句式和成语典故，不仅增强了文章的表现力，也使得读者能够更加深刻地理解其中蕴含的道理。文章还采用了对话的形式，通过假设师生问答的方式进行论述，增加了趣味性和说服力。</w:t>
      </w:r>
    </w:p>
    <w:p w14:paraId="499DAE5D" w14:textId="77777777" w:rsidR="00B954C5" w:rsidRDefault="00B954C5">
      <w:pPr>
        <w:rPr>
          <w:rFonts w:hint="eastAsia"/>
        </w:rPr>
      </w:pPr>
    </w:p>
    <w:p w14:paraId="782435D5" w14:textId="77777777" w:rsidR="00B954C5" w:rsidRDefault="00B954C5">
      <w:pPr>
        <w:rPr>
          <w:rFonts w:hint="eastAsia"/>
        </w:rPr>
      </w:pPr>
      <w:r>
        <w:rPr>
          <w:rFonts w:hint="eastAsia"/>
        </w:rPr>
        <w:t>对后世的影响</w:t>
      </w:r>
    </w:p>
    <w:p w14:paraId="415DB102" w14:textId="77777777" w:rsidR="00B954C5" w:rsidRDefault="00B954C5">
      <w:pPr>
        <w:rPr>
          <w:rFonts w:hint="eastAsia"/>
        </w:rPr>
      </w:pPr>
      <w:r>
        <w:rPr>
          <w:rFonts w:hint="eastAsia"/>
        </w:rPr>
        <w:t>《进学解》作为一篇重要的教育文献，对中国古代教育理念产生了深远影响。它提倡的学习态度和个人修为的原则，直到今天仍然具有启发意义。韩愈在这篇文章里表达的思想，鼓励了一代又一代学子追求知识、完善自我，同时也提醒着人们要承担起自己的社会责任。</w:t>
      </w:r>
    </w:p>
    <w:p w14:paraId="716560DA" w14:textId="77777777" w:rsidR="00B954C5" w:rsidRDefault="00B954C5">
      <w:pPr>
        <w:rPr>
          <w:rFonts w:hint="eastAsia"/>
        </w:rPr>
      </w:pPr>
    </w:p>
    <w:p w14:paraId="4068926E" w14:textId="77777777" w:rsidR="00B954C5" w:rsidRDefault="00B954C5">
      <w:pPr>
        <w:rPr>
          <w:rFonts w:hint="eastAsia"/>
        </w:rPr>
      </w:pPr>
      <w:r>
        <w:rPr>
          <w:rFonts w:hint="eastAsia"/>
        </w:rPr>
        <w:t>最后的总结</w:t>
      </w:r>
    </w:p>
    <w:p w14:paraId="007ECDDE" w14:textId="77777777" w:rsidR="00B954C5" w:rsidRDefault="00B954C5">
      <w:pPr>
        <w:rPr>
          <w:rFonts w:hint="eastAsia"/>
        </w:rPr>
      </w:pPr>
      <w:r>
        <w:rPr>
          <w:rFonts w:hint="eastAsia"/>
        </w:rPr>
        <w:t>《进学解》不仅是韩愈个人学术成就的一个缩影，更是中国古代文化宝库中一颗璀璨明珠。它的价值超越了时代，成为后人不断探索和传承的精神财富。</w:t>
      </w:r>
    </w:p>
    <w:p w14:paraId="4270FF4E" w14:textId="77777777" w:rsidR="00B954C5" w:rsidRDefault="00B954C5">
      <w:pPr>
        <w:rPr>
          <w:rFonts w:hint="eastAsia"/>
        </w:rPr>
      </w:pPr>
    </w:p>
    <w:p w14:paraId="203F1A79" w14:textId="77777777" w:rsidR="00B954C5" w:rsidRDefault="00B954C5">
      <w:pPr>
        <w:rPr>
          <w:rFonts w:hint="eastAsia"/>
        </w:rPr>
      </w:pPr>
      <w:r>
        <w:rPr>
          <w:rFonts w:hint="eastAsia"/>
        </w:rPr>
        <w:t>本文是由懂得生活网（dongdeshenghuo.com）为大家创作</w:t>
      </w:r>
    </w:p>
    <w:p w14:paraId="79DAFA1B" w14:textId="705C4E92" w:rsidR="00E22DA6" w:rsidRDefault="00E22DA6"/>
    <w:sectPr w:rsidR="00E2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A6"/>
    <w:rsid w:val="002D0BB4"/>
    <w:rsid w:val="00B954C5"/>
    <w:rsid w:val="00E2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4284-046A-493C-A022-3DF983B0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DA6"/>
    <w:rPr>
      <w:rFonts w:cstheme="majorBidi"/>
      <w:color w:val="2F5496" w:themeColor="accent1" w:themeShade="BF"/>
      <w:sz w:val="28"/>
      <w:szCs w:val="28"/>
    </w:rPr>
  </w:style>
  <w:style w:type="character" w:customStyle="1" w:styleId="50">
    <w:name w:val="标题 5 字符"/>
    <w:basedOn w:val="a0"/>
    <w:link w:val="5"/>
    <w:uiPriority w:val="9"/>
    <w:semiHidden/>
    <w:rsid w:val="00E22DA6"/>
    <w:rPr>
      <w:rFonts w:cstheme="majorBidi"/>
      <w:color w:val="2F5496" w:themeColor="accent1" w:themeShade="BF"/>
      <w:sz w:val="24"/>
    </w:rPr>
  </w:style>
  <w:style w:type="character" w:customStyle="1" w:styleId="60">
    <w:name w:val="标题 6 字符"/>
    <w:basedOn w:val="a0"/>
    <w:link w:val="6"/>
    <w:uiPriority w:val="9"/>
    <w:semiHidden/>
    <w:rsid w:val="00E22DA6"/>
    <w:rPr>
      <w:rFonts w:cstheme="majorBidi"/>
      <w:b/>
      <w:bCs/>
      <w:color w:val="2F5496" w:themeColor="accent1" w:themeShade="BF"/>
    </w:rPr>
  </w:style>
  <w:style w:type="character" w:customStyle="1" w:styleId="70">
    <w:name w:val="标题 7 字符"/>
    <w:basedOn w:val="a0"/>
    <w:link w:val="7"/>
    <w:uiPriority w:val="9"/>
    <w:semiHidden/>
    <w:rsid w:val="00E22DA6"/>
    <w:rPr>
      <w:rFonts w:cstheme="majorBidi"/>
      <w:b/>
      <w:bCs/>
      <w:color w:val="595959" w:themeColor="text1" w:themeTint="A6"/>
    </w:rPr>
  </w:style>
  <w:style w:type="character" w:customStyle="1" w:styleId="80">
    <w:name w:val="标题 8 字符"/>
    <w:basedOn w:val="a0"/>
    <w:link w:val="8"/>
    <w:uiPriority w:val="9"/>
    <w:semiHidden/>
    <w:rsid w:val="00E22DA6"/>
    <w:rPr>
      <w:rFonts w:cstheme="majorBidi"/>
      <w:color w:val="595959" w:themeColor="text1" w:themeTint="A6"/>
    </w:rPr>
  </w:style>
  <w:style w:type="character" w:customStyle="1" w:styleId="90">
    <w:name w:val="标题 9 字符"/>
    <w:basedOn w:val="a0"/>
    <w:link w:val="9"/>
    <w:uiPriority w:val="9"/>
    <w:semiHidden/>
    <w:rsid w:val="00E22DA6"/>
    <w:rPr>
      <w:rFonts w:eastAsiaTheme="majorEastAsia" w:cstheme="majorBidi"/>
      <w:color w:val="595959" w:themeColor="text1" w:themeTint="A6"/>
    </w:rPr>
  </w:style>
  <w:style w:type="paragraph" w:styleId="a3">
    <w:name w:val="Title"/>
    <w:basedOn w:val="a"/>
    <w:next w:val="a"/>
    <w:link w:val="a4"/>
    <w:uiPriority w:val="10"/>
    <w:qFormat/>
    <w:rsid w:val="00E22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DA6"/>
    <w:pPr>
      <w:spacing w:before="160"/>
      <w:jc w:val="center"/>
    </w:pPr>
    <w:rPr>
      <w:i/>
      <w:iCs/>
      <w:color w:val="404040" w:themeColor="text1" w:themeTint="BF"/>
    </w:rPr>
  </w:style>
  <w:style w:type="character" w:customStyle="1" w:styleId="a8">
    <w:name w:val="引用 字符"/>
    <w:basedOn w:val="a0"/>
    <w:link w:val="a7"/>
    <w:uiPriority w:val="29"/>
    <w:rsid w:val="00E22DA6"/>
    <w:rPr>
      <w:i/>
      <w:iCs/>
      <w:color w:val="404040" w:themeColor="text1" w:themeTint="BF"/>
    </w:rPr>
  </w:style>
  <w:style w:type="paragraph" w:styleId="a9">
    <w:name w:val="List Paragraph"/>
    <w:basedOn w:val="a"/>
    <w:uiPriority w:val="34"/>
    <w:qFormat/>
    <w:rsid w:val="00E22DA6"/>
    <w:pPr>
      <w:ind w:left="720"/>
      <w:contextualSpacing/>
    </w:pPr>
  </w:style>
  <w:style w:type="character" w:styleId="aa">
    <w:name w:val="Intense Emphasis"/>
    <w:basedOn w:val="a0"/>
    <w:uiPriority w:val="21"/>
    <w:qFormat/>
    <w:rsid w:val="00E22DA6"/>
    <w:rPr>
      <w:i/>
      <w:iCs/>
      <w:color w:val="2F5496" w:themeColor="accent1" w:themeShade="BF"/>
    </w:rPr>
  </w:style>
  <w:style w:type="paragraph" w:styleId="ab">
    <w:name w:val="Intense Quote"/>
    <w:basedOn w:val="a"/>
    <w:next w:val="a"/>
    <w:link w:val="ac"/>
    <w:uiPriority w:val="30"/>
    <w:qFormat/>
    <w:rsid w:val="00E22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DA6"/>
    <w:rPr>
      <w:i/>
      <w:iCs/>
      <w:color w:val="2F5496" w:themeColor="accent1" w:themeShade="BF"/>
    </w:rPr>
  </w:style>
  <w:style w:type="character" w:styleId="ad">
    <w:name w:val="Intense Reference"/>
    <w:basedOn w:val="a0"/>
    <w:uiPriority w:val="32"/>
    <w:qFormat/>
    <w:rsid w:val="00E22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