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70F18" w14:textId="77777777" w:rsidR="00FD0213" w:rsidRDefault="00FD0213">
      <w:pPr>
        <w:rPr>
          <w:rFonts w:hint="eastAsia"/>
        </w:rPr>
      </w:pPr>
      <w:r>
        <w:rPr>
          <w:rFonts w:hint="eastAsia"/>
        </w:rPr>
        <w:t>童孙未解供耕织的拼音：tóng sūn wèi jiě gōng gēng zhī</w:t>
      </w:r>
    </w:p>
    <w:p w14:paraId="7456AFD8" w14:textId="77777777" w:rsidR="00FD0213" w:rsidRDefault="00FD0213">
      <w:pPr>
        <w:rPr>
          <w:rFonts w:hint="eastAsia"/>
        </w:rPr>
      </w:pPr>
      <w:r>
        <w:rPr>
          <w:rFonts w:hint="eastAsia"/>
        </w:rPr>
        <w:t>在中华文化的长河中，诗歌是一种重要的文学表达形式，而对诗句中的每一个字进行准确的发音，则是理解与传承古诗不可或缺的一部分。"童孙未解供耕织"出自宋代诗人范成大的《四时田园杂兴》之一，描绘了乡村儿童天真无邪的生活场景，以及他们对于成人世界农事活动的好奇和模仿。</w:t>
      </w:r>
    </w:p>
    <w:p w14:paraId="1B1250B0" w14:textId="77777777" w:rsidR="00FD0213" w:rsidRDefault="00FD0213">
      <w:pPr>
        <w:rPr>
          <w:rFonts w:hint="eastAsia"/>
        </w:rPr>
      </w:pPr>
    </w:p>
    <w:p w14:paraId="3D1579B9" w14:textId="77777777" w:rsidR="00FD0213" w:rsidRDefault="00FD0213">
      <w:pPr>
        <w:rPr>
          <w:rFonts w:hint="eastAsia"/>
        </w:rPr>
      </w:pPr>
      <w:r>
        <w:rPr>
          <w:rFonts w:hint="eastAsia"/>
        </w:rPr>
        <w:t>背景介绍</w:t>
      </w:r>
    </w:p>
    <w:p w14:paraId="77D07120" w14:textId="77777777" w:rsidR="00FD0213" w:rsidRDefault="00FD0213">
      <w:pPr>
        <w:rPr>
          <w:rFonts w:hint="eastAsia"/>
        </w:rPr>
      </w:pPr>
      <w:r>
        <w:rPr>
          <w:rFonts w:hint="eastAsia"/>
        </w:rPr>
        <w:t>范成大生活在南宋时期，是一位著名的政治家、诗人。他的诗歌多反映当时的社会生活，尤其是农村的四季变化和农民的辛勤劳动。《四时田园杂兴》系列诗作正是这一风格的代表，通过细腻的笔触勾勒出一幅幅生动的田园画卷。此句“童孙未解供耕织”便是其中的一抹亮色，它不仅展现了孩子们纯真的天性，也体现了诗人对农村生活的深刻洞察。</w:t>
      </w:r>
    </w:p>
    <w:p w14:paraId="55E45C7D" w14:textId="77777777" w:rsidR="00FD0213" w:rsidRDefault="00FD0213">
      <w:pPr>
        <w:rPr>
          <w:rFonts w:hint="eastAsia"/>
        </w:rPr>
      </w:pPr>
    </w:p>
    <w:p w14:paraId="537553F2" w14:textId="77777777" w:rsidR="00FD0213" w:rsidRDefault="00FD0213">
      <w:pPr>
        <w:rPr>
          <w:rFonts w:hint="eastAsia"/>
        </w:rPr>
      </w:pPr>
      <w:r>
        <w:rPr>
          <w:rFonts w:hint="eastAsia"/>
        </w:rPr>
        <w:t>诗句解析</w:t>
      </w:r>
    </w:p>
    <w:p w14:paraId="5907CE09" w14:textId="77777777" w:rsidR="00FD0213" w:rsidRDefault="00FD0213">
      <w:pPr>
        <w:rPr>
          <w:rFonts w:hint="eastAsia"/>
        </w:rPr>
      </w:pPr>
      <w:r>
        <w:rPr>
          <w:rFonts w:hint="eastAsia"/>
        </w:rPr>
        <w:t>这句诗的意思是说，小孩子并不懂得如何参与田间劳作，像耕种或纺织这样的事情，但他们在一旁观看大人的工作，心中充满了好奇与向往。这里的“童孙”指的是年幼的孩子，“未解”即不明白、不了解；“供”有提供、参与之意；“耕织”则是指农业生产和家庭手工业两种主要活动。整句话简单质朴却饱含深情，表达了诗人对农村孩子纯真无邪的喜爱之情。</w:t>
      </w:r>
    </w:p>
    <w:p w14:paraId="6647713F" w14:textId="77777777" w:rsidR="00FD0213" w:rsidRDefault="00FD0213">
      <w:pPr>
        <w:rPr>
          <w:rFonts w:hint="eastAsia"/>
        </w:rPr>
      </w:pPr>
    </w:p>
    <w:p w14:paraId="2256EBF8" w14:textId="77777777" w:rsidR="00FD0213" w:rsidRDefault="00FD0213">
      <w:pPr>
        <w:rPr>
          <w:rFonts w:hint="eastAsia"/>
        </w:rPr>
      </w:pPr>
      <w:r>
        <w:rPr>
          <w:rFonts w:hint="eastAsia"/>
        </w:rPr>
        <w:t>文化意义</w:t>
      </w:r>
    </w:p>
    <w:p w14:paraId="2D39E204" w14:textId="77777777" w:rsidR="00FD0213" w:rsidRDefault="00FD0213">
      <w:pPr>
        <w:rPr>
          <w:rFonts w:hint="eastAsia"/>
        </w:rPr>
      </w:pPr>
      <w:r>
        <w:rPr>
          <w:rFonts w:hint="eastAsia"/>
        </w:rPr>
        <w:t>从更广泛的文化角度来看，“童孙未解供耕织”反映了中国古代社会的家庭教育观念。古代中国以农为本，家长希望后代能够继承传统技艺，学会生存技能。然而，诗中的孩子们尚未达到可以学习这些技能的年龄，他们的任务更多是在游戏中成长，在观察中学到知识。这也提醒我们珍惜童年时光，让孩子们在一个充满爱与关怀的环境中健康成长。</w:t>
      </w:r>
    </w:p>
    <w:p w14:paraId="49A43011" w14:textId="77777777" w:rsidR="00FD0213" w:rsidRDefault="00FD0213">
      <w:pPr>
        <w:rPr>
          <w:rFonts w:hint="eastAsia"/>
        </w:rPr>
      </w:pPr>
    </w:p>
    <w:p w14:paraId="10BBD94B" w14:textId="77777777" w:rsidR="00FD0213" w:rsidRDefault="00FD0213">
      <w:pPr>
        <w:rPr>
          <w:rFonts w:hint="eastAsia"/>
        </w:rPr>
      </w:pPr>
      <w:r>
        <w:rPr>
          <w:rFonts w:hint="eastAsia"/>
        </w:rPr>
        <w:t>艺术价值</w:t>
      </w:r>
    </w:p>
    <w:p w14:paraId="30297AD7" w14:textId="77777777" w:rsidR="00FD0213" w:rsidRDefault="00FD0213">
      <w:pPr>
        <w:rPr>
          <w:rFonts w:hint="eastAsia"/>
        </w:rPr>
      </w:pPr>
      <w:r>
        <w:rPr>
          <w:rFonts w:hint="eastAsia"/>
        </w:rPr>
        <w:t>作为一首描写乡村生活的佳作，《四时田园杂兴》以其真实自然的画面感赢得了无数读者的心。特别是“童孙未解供耕织”一句，通过简单的描述将读者带入了一个宁静和谐的世界。它没有华丽辞藻的堆砌，也没有刻意追求深奥哲理，而是用最贴近生活的语言传递出浓厚的人情味儿。这种平实而又动人的写作风格，使得这首诗成为了流传千古的经典之作。</w:t>
      </w:r>
    </w:p>
    <w:p w14:paraId="1F715B55" w14:textId="77777777" w:rsidR="00FD0213" w:rsidRDefault="00FD0213">
      <w:pPr>
        <w:rPr>
          <w:rFonts w:hint="eastAsia"/>
        </w:rPr>
      </w:pPr>
    </w:p>
    <w:p w14:paraId="00808837" w14:textId="77777777" w:rsidR="00FD0213" w:rsidRDefault="00FD0213">
      <w:pPr>
        <w:rPr>
          <w:rFonts w:hint="eastAsia"/>
        </w:rPr>
      </w:pPr>
      <w:r>
        <w:rPr>
          <w:rFonts w:hint="eastAsia"/>
        </w:rPr>
        <w:t>最后的总结</w:t>
      </w:r>
    </w:p>
    <w:p w14:paraId="4F6268B6" w14:textId="77777777" w:rsidR="00FD0213" w:rsidRDefault="00FD0213">
      <w:pPr>
        <w:rPr>
          <w:rFonts w:hint="eastAsia"/>
        </w:rPr>
      </w:pPr>
      <w:r>
        <w:rPr>
          <w:rFonts w:hint="eastAsia"/>
        </w:rPr>
        <w:t>“童孙未解供耕织”的拼音虽简单，背后却蕴含着丰富的历史文化内涵。它让我们看到了宋朝时期农村生活的点滴，感受到了诗人范成大的人文情怀。这句诗也是对中国传统文化的一种赞美，提醒人们不忘根本，珍视那些简单而美好的事物。随着时代的变迁，虽然我们的生活方式发生了巨大变化，但这份对美好生活的向往永远不变。</w:t>
      </w:r>
    </w:p>
    <w:p w14:paraId="7FEED93C" w14:textId="77777777" w:rsidR="00FD0213" w:rsidRDefault="00FD0213">
      <w:pPr>
        <w:rPr>
          <w:rFonts w:hint="eastAsia"/>
        </w:rPr>
      </w:pPr>
    </w:p>
    <w:p w14:paraId="6339B2D0" w14:textId="77777777" w:rsidR="00FD0213" w:rsidRDefault="00FD02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E8340" w14:textId="0910C3F1" w:rsidR="006E7AE0" w:rsidRDefault="006E7AE0"/>
    <w:sectPr w:rsidR="006E7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E0"/>
    <w:rsid w:val="002D0BB4"/>
    <w:rsid w:val="006E7AE0"/>
    <w:rsid w:val="00FD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B74BC-03DE-4C42-AE7D-34B04DB2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