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B05CF" w14:textId="77777777" w:rsidR="006622A4" w:rsidRDefault="006622A4">
      <w:pPr>
        <w:rPr>
          <w:rFonts w:hint="eastAsia"/>
        </w:rPr>
      </w:pPr>
      <w:r>
        <w:rPr>
          <w:rFonts w:hint="eastAsia"/>
        </w:rPr>
        <w:t>现金卷的拼音是什么</w:t>
      </w:r>
    </w:p>
    <w:p w14:paraId="03016594" w14:textId="77777777" w:rsidR="006622A4" w:rsidRDefault="006622A4">
      <w:pPr>
        <w:rPr>
          <w:rFonts w:hint="eastAsia"/>
        </w:rPr>
      </w:pPr>
      <w:r>
        <w:rPr>
          <w:rFonts w:hint="eastAsia"/>
        </w:rPr>
        <w:t>在深入探讨之前，我们首先要澄清一下题目中的小错误。“现金卷”的正确写法应该是“现金券”，其拼音为 “xiàn jīn quàn”。这个词汇指的是商家或组织发放的一种等值于一定金额的纸片或电子凭证，持有者可以在指定的地点或条件下兑换成等价的商品或服务。现金券是商业促销、奖励机制以及货币替代品中非常常见的形式。</w:t>
      </w:r>
    </w:p>
    <w:p w14:paraId="60223C1A" w14:textId="77777777" w:rsidR="006622A4" w:rsidRDefault="006622A4">
      <w:pPr>
        <w:rPr>
          <w:rFonts w:hint="eastAsia"/>
        </w:rPr>
      </w:pPr>
    </w:p>
    <w:p w14:paraId="7301B230" w14:textId="77777777" w:rsidR="006622A4" w:rsidRDefault="006622A4">
      <w:pPr>
        <w:rPr>
          <w:rFonts w:hint="eastAsia"/>
        </w:rPr>
      </w:pPr>
      <w:r>
        <w:rPr>
          <w:rFonts w:hint="eastAsia"/>
        </w:rPr>
        <w:t>现金券的历史背景与发展</w:t>
      </w:r>
    </w:p>
    <w:p w14:paraId="483CDAF8" w14:textId="77777777" w:rsidR="006622A4" w:rsidRDefault="006622A4">
      <w:pPr>
        <w:rPr>
          <w:rFonts w:hint="eastAsia"/>
        </w:rPr>
      </w:pPr>
      <w:r>
        <w:rPr>
          <w:rFonts w:hint="eastAsia"/>
        </w:rPr>
        <w:t>现金券的概念并非现代产物，它的历史可以追溯到很久以前。在古代，人们使用各种形式的代币来代替实物交易，简化了交换过程。到了近现代，随着市场经济的发展，商家开始利用现金券作为一种营销手段，吸引顾客并促进销售。特别是在二战后经济复苏时期，许多企业通过发行现金券来刺激消费，这种做法逐渐普及，并演变成为今天的多种形式，包括购物卡、优惠券、折扣券等。</w:t>
      </w:r>
    </w:p>
    <w:p w14:paraId="34D4547F" w14:textId="77777777" w:rsidR="006622A4" w:rsidRDefault="006622A4">
      <w:pPr>
        <w:rPr>
          <w:rFonts w:hint="eastAsia"/>
        </w:rPr>
      </w:pPr>
    </w:p>
    <w:p w14:paraId="172F58CB" w14:textId="77777777" w:rsidR="006622A4" w:rsidRDefault="006622A4">
      <w:pPr>
        <w:rPr>
          <w:rFonts w:hint="eastAsia"/>
        </w:rPr>
      </w:pPr>
      <w:r>
        <w:rPr>
          <w:rFonts w:hint="eastAsia"/>
        </w:rPr>
        <w:t>现金券的应用场景</w:t>
      </w:r>
    </w:p>
    <w:p w14:paraId="6FBD8E80" w14:textId="77777777" w:rsidR="006622A4" w:rsidRDefault="006622A4">
      <w:pPr>
        <w:rPr>
          <w:rFonts w:hint="eastAsia"/>
        </w:rPr>
      </w:pPr>
      <w:r>
        <w:rPr>
          <w:rFonts w:hint="eastAsia"/>
        </w:rPr>
        <w:t>现金券广泛应用于各个行业和领域。从餐饮娱乐到旅游住宿，从实体店铺到线上平台，几乎每个角落都能找到现金券的身影。它不仅限于直接的价格减免，还可以表现为满减、买一送一等形式。对于消费者来说，合理利用现金券能够节省开支；对于商家而言，则是增加销量、提升品牌知名度的有效工具。在节日促销、会员回馈、新店开业等活动期间，现金券更是不可或缺的角色。</w:t>
      </w:r>
    </w:p>
    <w:p w14:paraId="5A267848" w14:textId="77777777" w:rsidR="006622A4" w:rsidRDefault="006622A4">
      <w:pPr>
        <w:rPr>
          <w:rFonts w:hint="eastAsia"/>
        </w:rPr>
      </w:pPr>
    </w:p>
    <w:p w14:paraId="2B689B94" w14:textId="77777777" w:rsidR="006622A4" w:rsidRDefault="006622A4">
      <w:pPr>
        <w:rPr>
          <w:rFonts w:hint="eastAsia"/>
        </w:rPr>
      </w:pPr>
      <w:r>
        <w:rPr>
          <w:rFonts w:hint="eastAsia"/>
        </w:rPr>
        <w:t>现金券对经济的影响</w:t>
      </w:r>
    </w:p>
    <w:p w14:paraId="1BC948E4" w14:textId="77777777" w:rsidR="006622A4" w:rsidRDefault="006622A4">
      <w:pPr>
        <w:rPr>
          <w:rFonts w:hint="eastAsia"/>
        </w:rPr>
      </w:pPr>
      <w:r>
        <w:rPr>
          <w:rFonts w:hint="eastAsia"/>
        </w:rPr>
        <w:t>从宏观经济的角度看，现金券的流通加速了资金周转，促进了商品和服务的快速流动。一方面，它鼓励了消费者的即时购买行为，有助于短期经济增长；另一方面，通过设定有效期等方式，现金券还能促使未使用的资金重新进入市场，提高了整体经济效率。它也为企业提供了一种灵活的资金管理方式，尤其是在应对季节性波动或者特殊事件时，现金券可以帮助企业更好地调整经营策略。</w:t>
      </w:r>
    </w:p>
    <w:p w14:paraId="1713242B" w14:textId="77777777" w:rsidR="006622A4" w:rsidRDefault="006622A4">
      <w:pPr>
        <w:rPr>
          <w:rFonts w:hint="eastAsia"/>
        </w:rPr>
      </w:pPr>
    </w:p>
    <w:p w14:paraId="67687FDC" w14:textId="77777777" w:rsidR="006622A4" w:rsidRDefault="006622A4">
      <w:pPr>
        <w:rPr>
          <w:rFonts w:hint="eastAsia"/>
        </w:rPr>
      </w:pPr>
      <w:r>
        <w:rPr>
          <w:rFonts w:hint="eastAsia"/>
        </w:rPr>
        <w:t>未来趋势：数字化转型下的现金券</w:t>
      </w:r>
    </w:p>
    <w:p w14:paraId="6FC17A39" w14:textId="77777777" w:rsidR="006622A4" w:rsidRDefault="006622A4">
      <w:pPr>
        <w:rPr>
          <w:rFonts w:hint="eastAsia"/>
        </w:rPr>
      </w:pPr>
      <w:r>
        <w:rPr>
          <w:rFonts w:hint="eastAsia"/>
        </w:rPr>
        <w:t>随着互联网技术和移动支付的迅猛发展，传统的纸质现金券正逐步向电子化转变。电子现金券具有携带方便、不易丢失、易于管理和追踪等优点，因此受到了越来越多用户的青睐。展望未来，我们可以预见，更加个性化、智能化的电子现金券将不断涌现，它们与大数据、人工智能等新技术相结合，将为用户带来全新的体验，同时也为企业提供了更为精准的营销解决方案。“现金券”虽只是一个小小的票据，但它背后蕴含着丰富的经济意义和社会价值。</w:t>
      </w:r>
    </w:p>
    <w:p w14:paraId="3C40D905" w14:textId="77777777" w:rsidR="006622A4" w:rsidRDefault="006622A4">
      <w:pPr>
        <w:rPr>
          <w:rFonts w:hint="eastAsia"/>
        </w:rPr>
      </w:pPr>
    </w:p>
    <w:p w14:paraId="076811AD" w14:textId="77777777" w:rsidR="006622A4" w:rsidRDefault="006622A4">
      <w:pPr>
        <w:rPr>
          <w:rFonts w:hint="eastAsia"/>
        </w:rPr>
      </w:pPr>
      <w:r>
        <w:rPr>
          <w:rFonts w:hint="eastAsia"/>
        </w:rPr>
        <w:t>本文是由懂得生活网（dongdeshenghuo.com）为大家创作</w:t>
      </w:r>
    </w:p>
    <w:p w14:paraId="3BF7C5AA" w14:textId="1ED25DE0" w:rsidR="00AE3711" w:rsidRDefault="00AE3711"/>
    <w:sectPr w:rsidR="00AE3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11"/>
    <w:rsid w:val="002D0BB4"/>
    <w:rsid w:val="006622A4"/>
    <w:rsid w:val="00AE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E421B-948C-4969-9D8C-B35AA75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711"/>
    <w:rPr>
      <w:rFonts w:cstheme="majorBidi"/>
      <w:color w:val="2F5496" w:themeColor="accent1" w:themeShade="BF"/>
      <w:sz w:val="28"/>
      <w:szCs w:val="28"/>
    </w:rPr>
  </w:style>
  <w:style w:type="character" w:customStyle="1" w:styleId="50">
    <w:name w:val="标题 5 字符"/>
    <w:basedOn w:val="a0"/>
    <w:link w:val="5"/>
    <w:uiPriority w:val="9"/>
    <w:semiHidden/>
    <w:rsid w:val="00AE3711"/>
    <w:rPr>
      <w:rFonts w:cstheme="majorBidi"/>
      <w:color w:val="2F5496" w:themeColor="accent1" w:themeShade="BF"/>
      <w:sz w:val="24"/>
    </w:rPr>
  </w:style>
  <w:style w:type="character" w:customStyle="1" w:styleId="60">
    <w:name w:val="标题 6 字符"/>
    <w:basedOn w:val="a0"/>
    <w:link w:val="6"/>
    <w:uiPriority w:val="9"/>
    <w:semiHidden/>
    <w:rsid w:val="00AE3711"/>
    <w:rPr>
      <w:rFonts w:cstheme="majorBidi"/>
      <w:b/>
      <w:bCs/>
      <w:color w:val="2F5496" w:themeColor="accent1" w:themeShade="BF"/>
    </w:rPr>
  </w:style>
  <w:style w:type="character" w:customStyle="1" w:styleId="70">
    <w:name w:val="标题 7 字符"/>
    <w:basedOn w:val="a0"/>
    <w:link w:val="7"/>
    <w:uiPriority w:val="9"/>
    <w:semiHidden/>
    <w:rsid w:val="00AE3711"/>
    <w:rPr>
      <w:rFonts w:cstheme="majorBidi"/>
      <w:b/>
      <w:bCs/>
      <w:color w:val="595959" w:themeColor="text1" w:themeTint="A6"/>
    </w:rPr>
  </w:style>
  <w:style w:type="character" w:customStyle="1" w:styleId="80">
    <w:name w:val="标题 8 字符"/>
    <w:basedOn w:val="a0"/>
    <w:link w:val="8"/>
    <w:uiPriority w:val="9"/>
    <w:semiHidden/>
    <w:rsid w:val="00AE3711"/>
    <w:rPr>
      <w:rFonts w:cstheme="majorBidi"/>
      <w:color w:val="595959" w:themeColor="text1" w:themeTint="A6"/>
    </w:rPr>
  </w:style>
  <w:style w:type="character" w:customStyle="1" w:styleId="90">
    <w:name w:val="标题 9 字符"/>
    <w:basedOn w:val="a0"/>
    <w:link w:val="9"/>
    <w:uiPriority w:val="9"/>
    <w:semiHidden/>
    <w:rsid w:val="00AE3711"/>
    <w:rPr>
      <w:rFonts w:eastAsiaTheme="majorEastAsia" w:cstheme="majorBidi"/>
      <w:color w:val="595959" w:themeColor="text1" w:themeTint="A6"/>
    </w:rPr>
  </w:style>
  <w:style w:type="paragraph" w:styleId="a3">
    <w:name w:val="Title"/>
    <w:basedOn w:val="a"/>
    <w:next w:val="a"/>
    <w:link w:val="a4"/>
    <w:uiPriority w:val="10"/>
    <w:qFormat/>
    <w:rsid w:val="00AE3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711"/>
    <w:pPr>
      <w:spacing w:before="160"/>
      <w:jc w:val="center"/>
    </w:pPr>
    <w:rPr>
      <w:i/>
      <w:iCs/>
      <w:color w:val="404040" w:themeColor="text1" w:themeTint="BF"/>
    </w:rPr>
  </w:style>
  <w:style w:type="character" w:customStyle="1" w:styleId="a8">
    <w:name w:val="引用 字符"/>
    <w:basedOn w:val="a0"/>
    <w:link w:val="a7"/>
    <w:uiPriority w:val="29"/>
    <w:rsid w:val="00AE3711"/>
    <w:rPr>
      <w:i/>
      <w:iCs/>
      <w:color w:val="404040" w:themeColor="text1" w:themeTint="BF"/>
    </w:rPr>
  </w:style>
  <w:style w:type="paragraph" w:styleId="a9">
    <w:name w:val="List Paragraph"/>
    <w:basedOn w:val="a"/>
    <w:uiPriority w:val="34"/>
    <w:qFormat/>
    <w:rsid w:val="00AE3711"/>
    <w:pPr>
      <w:ind w:left="720"/>
      <w:contextualSpacing/>
    </w:pPr>
  </w:style>
  <w:style w:type="character" w:styleId="aa">
    <w:name w:val="Intense Emphasis"/>
    <w:basedOn w:val="a0"/>
    <w:uiPriority w:val="21"/>
    <w:qFormat/>
    <w:rsid w:val="00AE3711"/>
    <w:rPr>
      <w:i/>
      <w:iCs/>
      <w:color w:val="2F5496" w:themeColor="accent1" w:themeShade="BF"/>
    </w:rPr>
  </w:style>
  <w:style w:type="paragraph" w:styleId="ab">
    <w:name w:val="Intense Quote"/>
    <w:basedOn w:val="a"/>
    <w:next w:val="a"/>
    <w:link w:val="ac"/>
    <w:uiPriority w:val="30"/>
    <w:qFormat/>
    <w:rsid w:val="00AE3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711"/>
    <w:rPr>
      <w:i/>
      <w:iCs/>
      <w:color w:val="2F5496" w:themeColor="accent1" w:themeShade="BF"/>
    </w:rPr>
  </w:style>
  <w:style w:type="character" w:styleId="ad">
    <w:name w:val="Intense Reference"/>
    <w:basedOn w:val="a0"/>
    <w:uiPriority w:val="32"/>
    <w:qFormat/>
    <w:rsid w:val="00AE3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